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026038" w:rsidRDefault="00D13387" w:rsidP="00BE7B8F">
      <w:pPr>
        <w:jc w:val="center"/>
        <w:rPr>
          <w:rFonts w:asciiTheme="minorEastAsia" w:hAnsiTheme="minorEastAsia" w:cs="Times New Roman"/>
          <w:sz w:val="22"/>
        </w:rPr>
      </w:pPr>
      <w:r w:rsidRPr="00400956">
        <w:rPr>
          <w:rFonts w:asciiTheme="majorEastAsia" w:eastAsiaTheme="majorEastAsia" w:hAnsiTheme="maj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5E80" wp14:editId="24EB1850">
                <wp:simplePos x="0" y="0"/>
                <wp:positionH relativeFrom="column">
                  <wp:posOffset>-35663</wp:posOffset>
                </wp:positionH>
                <wp:positionV relativeFrom="paragraph">
                  <wp:posOffset>-185361</wp:posOffset>
                </wp:positionV>
                <wp:extent cx="2371061" cy="276446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3387" w:rsidRPr="00451EC6" w:rsidRDefault="00D13387" w:rsidP="00D133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1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様式第57号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の2</w:t>
                            </w:r>
                            <w:r w:rsidRPr="00451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（第32条関係）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2.8pt;margin-top:-14.6pt;width:186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" fillcolor="window" stroked="f" strokeweight=".5pt">
                <v:textbox>
                  <w:txbxContent>
                    <w:p w:rsidR="00D13387" w:rsidRPr="00451EC6" w:rsidRDefault="00D13387" w:rsidP="00D13387">
                      <w:pPr>
                        <w:rPr>
                          <w:sz w:val="20"/>
                          <w:szCs w:val="20"/>
                        </w:rPr>
                      </w:pPr>
                      <w:r w:rsidRPr="00451EC6">
                        <w:rPr>
                          <w:rFonts w:hint="eastAsia"/>
                          <w:sz w:val="20"/>
                          <w:szCs w:val="20"/>
                        </w:rPr>
                        <w:t>様式第57号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451EC6">
                        <w:rPr>
                          <w:rFonts w:hint="eastAsia"/>
                          <w:sz w:val="20"/>
                          <w:szCs w:val="20"/>
                        </w:rPr>
                        <w:t>（第32条関係）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5C55DC" w:rsidP="005C55DC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5C55DC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　平成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D13387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高根沢町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D13387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5C55DC">
              <w:rPr>
                <w:rFonts w:asciiTheme="minorEastAsia" w:hAnsiTheme="minorEastAsia" w:cs="Times New Roman" w:hint="eastAsia"/>
                <w:sz w:val="21"/>
                <w:szCs w:val="21"/>
              </w:rPr>
              <w:t>平成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D13387">
        <w:rPr>
          <w:rFonts w:asciiTheme="minorEastAsia" w:hAnsiTheme="minorEastAsia" w:cs="Times New Roman" w:hint="eastAsia"/>
          <w:sz w:val="20"/>
          <w:szCs w:val="20"/>
        </w:rPr>
        <w:t>高根沢町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5C55DC" w:rsidRDefault="00BE7B8F" w:rsidP="005C55D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 w:hint="eastAsia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D13387">
        <w:rPr>
          <w:rFonts w:asciiTheme="minorEastAsia" w:hAnsiTheme="minorEastAsia" w:cs="Times New Roman" w:hint="eastAsia"/>
          <w:sz w:val="20"/>
          <w:szCs w:val="20"/>
        </w:rPr>
        <w:t>高根沢町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1D1CF6" w:rsidRPr="00026038" w:rsidRDefault="00BE7B8F" w:rsidP="005C55D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bookmarkStart w:id="0" w:name="_GoBack"/>
      <w:bookmarkEnd w:id="0"/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C9" w:rsidRDefault="004538C9" w:rsidP="008D7095">
      <w:r>
        <w:separator/>
      </w:r>
    </w:p>
  </w:endnote>
  <w:endnote w:type="continuationSeparator" w:id="0">
    <w:p w:rsidR="004538C9" w:rsidRDefault="004538C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C9" w:rsidRDefault="004538C9" w:rsidP="008D7095">
      <w:r>
        <w:separator/>
      </w:r>
    </w:p>
  </w:footnote>
  <w:footnote w:type="continuationSeparator" w:id="0">
    <w:p w:rsidR="004538C9" w:rsidRDefault="004538C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55DC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3387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CC88-30D3-4817-825F-EA5F7DA9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13</cp:revision>
  <cp:lastPrinted>2015-09-23T11:06:00Z</cp:lastPrinted>
  <dcterms:created xsi:type="dcterms:W3CDTF">2015-09-18T11:35:00Z</dcterms:created>
  <dcterms:modified xsi:type="dcterms:W3CDTF">2015-12-28T09:17:00Z</dcterms:modified>
</cp:coreProperties>
</file>